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1952C5A5"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E33F93">
        <w:rPr>
          <w:rFonts w:cs="ＭＳ 明朝" w:hint="eastAsia"/>
          <w:color w:val="000000"/>
          <w:spacing w:val="-2"/>
          <w:kern w:val="0"/>
          <w:szCs w:val="21"/>
        </w:rPr>
        <w:t>軽自動車（鳥獣害対策用）</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59E9092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E33F93">
        <w:rPr>
          <w:rFonts w:cs="ＭＳ 明朝" w:hint="eastAsia"/>
          <w:color w:val="000000"/>
          <w:spacing w:val="-2"/>
          <w:kern w:val="0"/>
          <w:szCs w:val="21"/>
        </w:rPr>
        <w:t>軽自動車（鳥獣害対策用）</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1D72E82F"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E33F93" w:rsidRPr="00E33F93">
        <w:rPr>
          <w:rFonts w:cs="ＭＳ 明朝" w:hint="eastAsia"/>
          <w:color w:val="000000"/>
          <w:spacing w:val="-2"/>
          <w:kern w:val="0"/>
          <w:sz w:val="21"/>
          <w:szCs w:val="18"/>
        </w:rPr>
        <w:t>軽自動車</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3</cp:revision>
  <cp:lastPrinted>2023-01-19T13:56:00Z</cp:lastPrinted>
  <dcterms:created xsi:type="dcterms:W3CDTF">2022-07-08T01:43:00Z</dcterms:created>
  <dcterms:modified xsi:type="dcterms:W3CDTF">2025-05-27T01:48:00Z</dcterms:modified>
</cp:coreProperties>
</file>