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FE462B" w14:textId="77777777" w:rsidR="006B6C74" w:rsidRPr="00CF653C" w:rsidRDefault="00186F2C">
      <w:pPr>
        <w:widowControl/>
        <w:spacing w:line="300" w:lineRule="exact"/>
        <w:ind w:left="617" w:hangingChars="257" w:hanging="617"/>
        <w:jc w:val="right"/>
        <w:rPr>
          <w:rFonts w:asciiTheme="majorEastAsia" w:eastAsiaTheme="majorEastAsia" w:hAnsiTheme="majorEastAsia"/>
          <w:color w:val="000000"/>
          <w:kern w:val="0"/>
          <w:sz w:val="24"/>
        </w:rPr>
      </w:pPr>
      <w:r w:rsidRPr="00CF653C">
        <w:rPr>
          <w:rFonts w:asciiTheme="majorEastAsia" w:eastAsiaTheme="majorEastAsia" w:hAnsiTheme="majorEastAsia" w:hint="eastAsia"/>
          <w:color w:val="000000"/>
          <w:kern w:val="0"/>
          <w:sz w:val="24"/>
        </w:rPr>
        <w:t>（申請書ロ－①の添付書類）</w:t>
      </w:r>
    </w:p>
    <w:p w14:paraId="68C34DC8" w14:textId="1DC7F62B" w:rsidR="00493D0B" w:rsidRPr="00CF653C" w:rsidRDefault="00493D0B" w:rsidP="00493D0B">
      <w:pPr>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【記入上の注意】</w:t>
      </w:r>
    </w:p>
    <w:p w14:paraId="375AB546" w14:textId="0EC0A265" w:rsidR="00493D0B" w:rsidRPr="00CF653C" w:rsidRDefault="00493D0B" w:rsidP="00493D0B">
      <w:pPr>
        <w:numPr>
          <w:ilvl w:val="0"/>
          <w:numId w:val="1"/>
        </w:numPr>
        <w:rPr>
          <w:rFonts w:asciiTheme="majorEastAsia" w:eastAsiaTheme="majorEastAsia" w:hAnsiTheme="majorEastAsia"/>
          <w:sz w:val="22"/>
          <w:szCs w:val="22"/>
          <w:shd w:val="pct15" w:color="auto" w:fill="FFFFFF"/>
        </w:rPr>
      </w:pPr>
      <w:r w:rsidRPr="00CF653C">
        <w:rPr>
          <w:rFonts w:asciiTheme="majorEastAsia" w:eastAsiaTheme="majorEastAsia" w:hAnsiTheme="majorEastAsia" w:hint="eastAsia"/>
          <w:sz w:val="22"/>
          <w:szCs w:val="22"/>
        </w:rPr>
        <w:t>申請の際は、ご自身の行っている事業を事前に日本標準産業分類で確認してください。</w:t>
      </w:r>
    </w:p>
    <w:p w14:paraId="7E3DC1C7" w14:textId="1AA3B379" w:rsidR="00186F2C" w:rsidRPr="00CF653C" w:rsidRDefault="00493D0B" w:rsidP="00186F2C">
      <w:pPr>
        <w:numPr>
          <w:ilvl w:val="0"/>
          <w:numId w:val="1"/>
        </w:numPr>
        <w:rPr>
          <w:rFonts w:asciiTheme="majorEastAsia" w:eastAsiaTheme="majorEastAsia" w:hAnsiTheme="majorEastAsia"/>
          <w:sz w:val="22"/>
          <w:szCs w:val="22"/>
          <w:shd w:val="pct15" w:color="auto" w:fill="FFFFFF"/>
        </w:rPr>
      </w:pPr>
      <w:r w:rsidRPr="00CF653C">
        <w:rPr>
          <w:rFonts w:asciiTheme="majorEastAsia" w:eastAsiaTheme="majorEastAsia" w:hAnsiTheme="majorEastAsia" w:hint="eastAsia"/>
          <w:sz w:val="22"/>
          <w:szCs w:val="22"/>
        </w:rPr>
        <w:t>全ての項目について、記載してください。</w:t>
      </w:r>
    </w:p>
    <w:p w14:paraId="0AE9F4BF" w14:textId="5572669B" w:rsidR="00186F2C" w:rsidRPr="00CF653C" w:rsidRDefault="00186F2C" w:rsidP="00186F2C">
      <w:pPr>
        <w:numPr>
          <w:ilvl w:val="0"/>
          <w:numId w:val="1"/>
        </w:numPr>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金額</w:t>
      </w:r>
      <w:r w:rsidR="00493D0B" w:rsidRPr="00CF653C">
        <w:rPr>
          <w:rFonts w:asciiTheme="majorEastAsia" w:eastAsiaTheme="majorEastAsia" w:hAnsiTheme="majorEastAsia" w:hint="eastAsia"/>
          <w:sz w:val="22"/>
          <w:szCs w:val="22"/>
        </w:rPr>
        <w:t>は円単位で記載してください。</w:t>
      </w:r>
    </w:p>
    <w:p w14:paraId="57D692CC" w14:textId="3E9D8031" w:rsidR="006B6C74" w:rsidRPr="00CF653C" w:rsidRDefault="00493D0B" w:rsidP="00186F2C">
      <w:pPr>
        <w:numPr>
          <w:ilvl w:val="0"/>
          <w:numId w:val="1"/>
        </w:numPr>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減少率は、小数点第</w:t>
      </w:r>
      <w:r w:rsidR="00AE4190" w:rsidRPr="00CF653C">
        <w:rPr>
          <w:rFonts w:asciiTheme="majorEastAsia" w:eastAsiaTheme="majorEastAsia" w:hAnsiTheme="majorEastAsia" w:hint="eastAsia"/>
          <w:sz w:val="22"/>
          <w:szCs w:val="22"/>
        </w:rPr>
        <w:t>２</w:t>
      </w:r>
      <w:r w:rsidRPr="00CF653C">
        <w:rPr>
          <w:rFonts w:asciiTheme="majorEastAsia" w:eastAsiaTheme="majorEastAsia" w:hAnsiTheme="majorEastAsia" w:hint="eastAsia"/>
          <w:sz w:val="22"/>
          <w:szCs w:val="22"/>
        </w:rPr>
        <w:t>位以下を切り捨ててください。</w:t>
      </w:r>
    </w:p>
    <w:p w14:paraId="5DCA7845" w14:textId="77777777" w:rsidR="006B6C74" w:rsidRPr="00CF653C" w:rsidRDefault="006B6C74">
      <w:pPr>
        <w:widowControl/>
        <w:jc w:val="left"/>
        <w:rPr>
          <w:rFonts w:asciiTheme="majorEastAsia" w:eastAsiaTheme="majorEastAsia" w:hAnsiTheme="majorEastAsia"/>
          <w:sz w:val="24"/>
        </w:rPr>
      </w:pPr>
    </w:p>
    <w:p w14:paraId="3B74D8F1" w14:textId="677C7148" w:rsidR="006B6C74" w:rsidRPr="00CF653C" w:rsidRDefault="00186F2C">
      <w:pPr>
        <w:widowControl/>
        <w:jc w:val="lef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（表１：事業が属する業種毎の最近１年間の売上高）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4"/>
        <w:gridCol w:w="2939"/>
        <w:gridCol w:w="2693"/>
        <w:gridCol w:w="1276"/>
      </w:tblGrid>
      <w:tr w:rsidR="00176102" w:rsidRPr="00CF653C" w14:paraId="1A8590C5" w14:textId="77777777" w:rsidTr="00176102">
        <w:tc>
          <w:tcPr>
            <w:tcW w:w="1564" w:type="dxa"/>
            <w:tcBorders>
              <w:top w:val="single" w:sz="12" w:space="0" w:color="auto"/>
              <w:left w:val="single" w:sz="12" w:space="0" w:color="auto"/>
              <w:bottom w:val="single" w:sz="12" w:space="0" w:color="auto"/>
              <w:right w:val="single" w:sz="12" w:space="0" w:color="auto"/>
            </w:tcBorders>
            <w:shd w:val="clear" w:color="auto" w:fill="auto"/>
          </w:tcPr>
          <w:p w14:paraId="61E28147" w14:textId="77777777" w:rsidR="00176102" w:rsidRPr="00CF653C" w:rsidRDefault="00176102" w:rsidP="0053369D">
            <w:pPr>
              <w:jc w:val="center"/>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産業分類番号</w:t>
            </w:r>
          </w:p>
          <w:p w14:paraId="49866605" w14:textId="77777777" w:rsidR="00176102" w:rsidRPr="00CF653C" w:rsidRDefault="00176102" w:rsidP="0053369D">
            <w:pPr>
              <w:jc w:val="center"/>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細分類</w:t>
            </w:r>
          </w:p>
        </w:tc>
        <w:tc>
          <w:tcPr>
            <w:tcW w:w="2939" w:type="dxa"/>
            <w:tcBorders>
              <w:left w:val="single" w:sz="12" w:space="0" w:color="auto"/>
            </w:tcBorders>
            <w:shd w:val="clear" w:color="auto" w:fill="auto"/>
          </w:tcPr>
          <w:p w14:paraId="4404B6DE" w14:textId="77777777" w:rsidR="00176102" w:rsidRPr="00CF653C" w:rsidRDefault="00176102" w:rsidP="0053369D">
            <w:pPr>
              <w:jc w:val="center"/>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業　種　名</w:t>
            </w:r>
          </w:p>
        </w:tc>
        <w:tc>
          <w:tcPr>
            <w:tcW w:w="2693" w:type="dxa"/>
            <w:shd w:val="clear" w:color="auto" w:fill="auto"/>
          </w:tcPr>
          <w:p w14:paraId="7A3B5B0A" w14:textId="77777777" w:rsidR="00176102" w:rsidRPr="00CF653C" w:rsidRDefault="00176102" w:rsidP="0053369D">
            <w:pPr>
              <w:jc w:val="center"/>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最近の売上高</w:t>
            </w:r>
          </w:p>
          <w:p w14:paraId="52208ED6" w14:textId="77777777" w:rsidR="00176102" w:rsidRPr="00CF653C" w:rsidRDefault="00176102" w:rsidP="0053369D">
            <w:pPr>
              <w:jc w:val="center"/>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（直近１年間）</w:t>
            </w:r>
          </w:p>
        </w:tc>
        <w:tc>
          <w:tcPr>
            <w:tcW w:w="1276" w:type="dxa"/>
            <w:shd w:val="clear" w:color="auto" w:fill="auto"/>
          </w:tcPr>
          <w:p w14:paraId="4614797D" w14:textId="77777777" w:rsidR="00176102" w:rsidRPr="00CF653C" w:rsidRDefault="00176102" w:rsidP="0053369D">
            <w:pPr>
              <w:jc w:val="center"/>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構成比</w:t>
            </w:r>
          </w:p>
        </w:tc>
      </w:tr>
      <w:tr w:rsidR="00176102" w:rsidRPr="00CF653C" w14:paraId="6A7ED5EE" w14:textId="77777777" w:rsidTr="00176102">
        <w:tc>
          <w:tcPr>
            <w:tcW w:w="1564" w:type="dxa"/>
            <w:tcBorders>
              <w:top w:val="single" w:sz="12" w:space="0" w:color="auto"/>
              <w:left w:val="single" w:sz="12" w:space="0" w:color="auto"/>
              <w:bottom w:val="single" w:sz="12" w:space="0" w:color="auto"/>
              <w:right w:val="single" w:sz="12" w:space="0" w:color="auto"/>
            </w:tcBorders>
            <w:shd w:val="clear" w:color="auto" w:fill="auto"/>
          </w:tcPr>
          <w:p w14:paraId="110F9FAC" w14:textId="77777777" w:rsidR="00176102" w:rsidRPr="00CF653C" w:rsidRDefault="00176102" w:rsidP="0053369D">
            <w:pPr>
              <w:rPr>
                <w:rFonts w:asciiTheme="majorEastAsia" w:eastAsiaTheme="majorEastAsia" w:hAnsiTheme="majorEastAsia"/>
                <w:sz w:val="22"/>
                <w:szCs w:val="22"/>
              </w:rPr>
            </w:pPr>
          </w:p>
        </w:tc>
        <w:tc>
          <w:tcPr>
            <w:tcW w:w="2939" w:type="dxa"/>
            <w:tcBorders>
              <w:left w:val="single" w:sz="12" w:space="0" w:color="auto"/>
            </w:tcBorders>
            <w:shd w:val="clear" w:color="auto" w:fill="auto"/>
          </w:tcPr>
          <w:p w14:paraId="1F6D559D" w14:textId="77777777" w:rsidR="00176102" w:rsidRPr="00CF653C" w:rsidRDefault="00176102" w:rsidP="0053369D">
            <w:pPr>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業</w:t>
            </w:r>
          </w:p>
        </w:tc>
        <w:tc>
          <w:tcPr>
            <w:tcW w:w="2693" w:type="dxa"/>
            <w:shd w:val="clear" w:color="auto" w:fill="auto"/>
          </w:tcPr>
          <w:p w14:paraId="2AA31E0D" w14:textId="77777777" w:rsidR="00176102" w:rsidRPr="00CF653C" w:rsidRDefault="00176102" w:rsidP="0053369D">
            <w:pPr>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円</w:t>
            </w:r>
          </w:p>
        </w:tc>
        <w:tc>
          <w:tcPr>
            <w:tcW w:w="1276" w:type="dxa"/>
            <w:shd w:val="clear" w:color="auto" w:fill="auto"/>
          </w:tcPr>
          <w:p w14:paraId="4EC4AF1D" w14:textId="77777777" w:rsidR="00176102" w:rsidRPr="00CF653C" w:rsidRDefault="00176102" w:rsidP="0053369D">
            <w:pPr>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w:t>
            </w:r>
          </w:p>
        </w:tc>
      </w:tr>
      <w:tr w:rsidR="00176102" w:rsidRPr="00CF653C" w14:paraId="5E5C30C1" w14:textId="77777777" w:rsidTr="00176102">
        <w:tc>
          <w:tcPr>
            <w:tcW w:w="1564" w:type="dxa"/>
            <w:tcBorders>
              <w:top w:val="single" w:sz="12" w:space="0" w:color="auto"/>
              <w:left w:val="single" w:sz="12" w:space="0" w:color="auto"/>
              <w:bottom w:val="single" w:sz="12" w:space="0" w:color="auto"/>
              <w:right w:val="single" w:sz="12" w:space="0" w:color="auto"/>
            </w:tcBorders>
            <w:shd w:val="clear" w:color="auto" w:fill="auto"/>
          </w:tcPr>
          <w:p w14:paraId="1EE208F8" w14:textId="77777777" w:rsidR="00176102" w:rsidRPr="00CF653C" w:rsidRDefault="00176102" w:rsidP="0053369D">
            <w:pPr>
              <w:rPr>
                <w:rFonts w:asciiTheme="majorEastAsia" w:eastAsiaTheme="majorEastAsia" w:hAnsiTheme="majorEastAsia"/>
                <w:sz w:val="22"/>
                <w:szCs w:val="22"/>
              </w:rPr>
            </w:pPr>
          </w:p>
        </w:tc>
        <w:tc>
          <w:tcPr>
            <w:tcW w:w="2939" w:type="dxa"/>
            <w:tcBorders>
              <w:left w:val="single" w:sz="12" w:space="0" w:color="auto"/>
            </w:tcBorders>
            <w:shd w:val="clear" w:color="auto" w:fill="auto"/>
          </w:tcPr>
          <w:p w14:paraId="607ECF15" w14:textId="77777777" w:rsidR="00176102" w:rsidRPr="00CF653C" w:rsidRDefault="00176102" w:rsidP="0053369D">
            <w:pPr>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業</w:t>
            </w:r>
          </w:p>
        </w:tc>
        <w:tc>
          <w:tcPr>
            <w:tcW w:w="2693" w:type="dxa"/>
            <w:shd w:val="clear" w:color="auto" w:fill="auto"/>
          </w:tcPr>
          <w:p w14:paraId="2816FE9F" w14:textId="77777777" w:rsidR="00176102" w:rsidRPr="00CF653C" w:rsidRDefault="00176102" w:rsidP="0053369D">
            <w:pPr>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円</w:t>
            </w:r>
          </w:p>
        </w:tc>
        <w:tc>
          <w:tcPr>
            <w:tcW w:w="1276" w:type="dxa"/>
            <w:shd w:val="clear" w:color="auto" w:fill="auto"/>
          </w:tcPr>
          <w:p w14:paraId="1532F135" w14:textId="77777777" w:rsidR="00176102" w:rsidRPr="00CF653C" w:rsidRDefault="00176102" w:rsidP="0053369D">
            <w:pPr>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w:t>
            </w:r>
          </w:p>
        </w:tc>
      </w:tr>
      <w:tr w:rsidR="00176102" w:rsidRPr="00CF653C" w14:paraId="6555117F" w14:textId="77777777" w:rsidTr="00176102">
        <w:tc>
          <w:tcPr>
            <w:tcW w:w="1564" w:type="dxa"/>
            <w:tcBorders>
              <w:top w:val="single" w:sz="12" w:space="0" w:color="auto"/>
              <w:left w:val="single" w:sz="12" w:space="0" w:color="auto"/>
              <w:bottom w:val="single" w:sz="12" w:space="0" w:color="auto"/>
              <w:right w:val="single" w:sz="12" w:space="0" w:color="auto"/>
            </w:tcBorders>
            <w:shd w:val="clear" w:color="auto" w:fill="auto"/>
          </w:tcPr>
          <w:p w14:paraId="11C7464A" w14:textId="77777777" w:rsidR="00176102" w:rsidRPr="00CF653C" w:rsidRDefault="00176102" w:rsidP="0053369D">
            <w:pPr>
              <w:rPr>
                <w:rFonts w:asciiTheme="majorEastAsia" w:eastAsiaTheme="majorEastAsia" w:hAnsiTheme="majorEastAsia"/>
                <w:sz w:val="22"/>
                <w:szCs w:val="22"/>
              </w:rPr>
            </w:pPr>
          </w:p>
        </w:tc>
        <w:tc>
          <w:tcPr>
            <w:tcW w:w="2939" w:type="dxa"/>
            <w:tcBorders>
              <w:left w:val="single" w:sz="12" w:space="0" w:color="auto"/>
            </w:tcBorders>
            <w:shd w:val="clear" w:color="auto" w:fill="auto"/>
          </w:tcPr>
          <w:p w14:paraId="24E0471F" w14:textId="77777777" w:rsidR="00176102" w:rsidRPr="00CF653C" w:rsidRDefault="00176102" w:rsidP="0053369D">
            <w:pPr>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業</w:t>
            </w:r>
          </w:p>
        </w:tc>
        <w:tc>
          <w:tcPr>
            <w:tcW w:w="2693" w:type="dxa"/>
            <w:shd w:val="clear" w:color="auto" w:fill="auto"/>
          </w:tcPr>
          <w:p w14:paraId="08503593" w14:textId="77777777" w:rsidR="00176102" w:rsidRPr="00CF653C" w:rsidRDefault="00176102" w:rsidP="0053369D">
            <w:pPr>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円</w:t>
            </w:r>
          </w:p>
        </w:tc>
        <w:tc>
          <w:tcPr>
            <w:tcW w:w="1276" w:type="dxa"/>
            <w:shd w:val="clear" w:color="auto" w:fill="auto"/>
          </w:tcPr>
          <w:p w14:paraId="0823ED59" w14:textId="77777777" w:rsidR="00176102" w:rsidRPr="00CF653C" w:rsidRDefault="00176102" w:rsidP="0053369D">
            <w:pPr>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w:t>
            </w:r>
          </w:p>
        </w:tc>
      </w:tr>
      <w:tr w:rsidR="00176102" w:rsidRPr="00CF653C" w14:paraId="373D3AC8" w14:textId="77777777" w:rsidTr="00176102">
        <w:trPr>
          <w:trHeight w:val="249"/>
        </w:trPr>
        <w:tc>
          <w:tcPr>
            <w:tcW w:w="1564" w:type="dxa"/>
            <w:tcBorders>
              <w:top w:val="single" w:sz="12" w:space="0" w:color="auto"/>
              <w:left w:val="single" w:sz="12" w:space="0" w:color="auto"/>
              <w:bottom w:val="single" w:sz="12" w:space="0" w:color="auto"/>
              <w:right w:val="single" w:sz="12" w:space="0" w:color="auto"/>
            </w:tcBorders>
            <w:shd w:val="clear" w:color="auto" w:fill="auto"/>
          </w:tcPr>
          <w:p w14:paraId="0B8D2EC0" w14:textId="77777777" w:rsidR="00176102" w:rsidRPr="00CF653C" w:rsidRDefault="00176102" w:rsidP="0053369D">
            <w:pPr>
              <w:rPr>
                <w:rFonts w:asciiTheme="majorEastAsia" w:eastAsiaTheme="majorEastAsia" w:hAnsiTheme="majorEastAsia"/>
                <w:sz w:val="22"/>
                <w:szCs w:val="22"/>
              </w:rPr>
            </w:pPr>
          </w:p>
        </w:tc>
        <w:tc>
          <w:tcPr>
            <w:tcW w:w="2939" w:type="dxa"/>
            <w:tcBorders>
              <w:left w:val="single" w:sz="12" w:space="0" w:color="auto"/>
              <w:bottom w:val="single" w:sz="4" w:space="0" w:color="auto"/>
            </w:tcBorders>
            <w:shd w:val="clear" w:color="auto" w:fill="auto"/>
          </w:tcPr>
          <w:p w14:paraId="424727A8" w14:textId="77777777" w:rsidR="00176102" w:rsidRPr="00CF653C" w:rsidRDefault="00176102" w:rsidP="0053369D">
            <w:pPr>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業</w:t>
            </w:r>
          </w:p>
        </w:tc>
        <w:tc>
          <w:tcPr>
            <w:tcW w:w="2693" w:type="dxa"/>
            <w:tcBorders>
              <w:bottom w:val="single" w:sz="4" w:space="0" w:color="auto"/>
            </w:tcBorders>
            <w:shd w:val="clear" w:color="auto" w:fill="auto"/>
          </w:tcPr>
          <w:p w14:paraId="4A14AC75" w14:textId="77777777" w:rsidR="00176102" w:rsidRPr="00CF653C" w:rsidRDefault="00176102" w:rsidP="0053369D">
            <w:pPr>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円</w:t>
            </w:r>
          </w:p>
        </w:tc>
        <w:tc>
          <w:tcPr>
            <w:tcW w:w="1276" w:type="dxa"/>
            <w:tcBorders>
              <w:bottom w:val="single" w:sz="4" w:space="0" w:color="auto"/>
            </w:tcBorders>
            <w:shd w:val="clear" w:color="auto" w:fill="auto"/>
          </w:tcPr>
          <w:p w14:paraId="1628D342" w14:textId="77777777" w:rsidR="00176102" w:rsidRPr="00CF653C" w:rsidRDefault="00176102" w:rsidP="0053369D">
            <w:pPr>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w:t>
            </w:r>
          </w:p>
        </w:tc>
      </w:tr>
      <w:tr w:rsidR="00176102" w:rsidRPr="00CF653C" w14:paraId="26D79A02" w14:textId="77777777" w:rsidTr="00176102">
        <w:tc>
          <w:tcPr>
            <w:tcW w:w="1564" w:type="dxa"/>
            <w:tcBorders>
              <w:top w:val="single" w:sz="12" w:space="0" w:color="auto"/>
              <w:left w:val="single" w:sz="12" w:space="0" w:color="auto"/>
              <w:bottom w:val="single" w:sz="12" w:space="0" w:color="auto"/>
              <w:right w:val="single" w:sz="12" w:space="0" w:color="auto"/>
            </w:tcBorders>
            <w:shd w:val="clear" w:color="auto" w:fill="auto"/>
          </w:tcPr>
          <w:p w14:paraId="4304E026" w14:textId="77777777" w:rsidR="00176102" w:rsidRPr="00CF653C" w:rsidRDefault="00176102" w:rsidP="0053369D">
            <w:pPr>
              <w:rPr>
                <w:rFonts w:asciiTheme="majorEastAsia" w:eastAsiaTheme="majorEastAsia" w:hAnsiTheme="majorEastAsia"/>
                <w:sz w:val="22"/>
                <w:szCs w:val="22"/>
              </w:rPr>
            </w:pPr>
          </w:p>
        </w:tc>
        <w:tc>
          <w:tcPr>
            <w:tcW w:w="2939" w:type="dxa"/>
            <w:tcBorders>
              <w:left w:val="single" w:sz="12" w:space="0" w:color="auto"/>
            </w:tcBorders>
            <w:shd w:val="clear" w:color="auto" w:fill="auto"/>
          </w:tcPr>
          <w:p w14:paraId="2D17F550" w14:textId="77777777" w:rsidR="00176102" w:rsidRPr="00CF653C" w:rsidRDefault="00176102" w:rsidP="0053369D">
            <w:pPr>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業</w:t>
            </w:r>
          </w:p>
        </w:tc>
        <w:tc>
          <w:tcPr>
            <w:tcW w:w="2693" w:type="dxa"/>
            <w:shd w:val="clear" w:color="auto" w:fill="auto"/>
          </w:tcPr>
          <w:p w14:paraId="012BBE53" w14:textId="77777777" w:rsidR="00176102" w:rsidRPr="00CF653C" w:rsidRDefault="00176102" w:rsidP="0053369D">
            <w:pPr>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円</w:t>
            </w:r>
          </w:p>
        </w:tc>
        <w:tc>
          <w:tcPr>
            <w:tcW w:w="1276" w:type="dxa"/>
            <w:shd w:val="clear" w:color="auto" w:fill="auto"/>
          </w:tcPr>
          <w:p w14:paraId="063127FC" w14:textId="77777777" w:rsidR="00176102" w:rsidRPr="00CF653C" w:rsidRDefault="00176102" w:rsidP="0053369D">
            <w:pPr>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w:t>
            </w:r>
          </w:p>
        </w:tc>
      </w:tr>
    </w:tbl>
    <w:p w14:paraId="16E41A1B" w14:textId="77777777" w:rsidR="006B6C74" w:rsidRPr="00CF653C" w:rsidRDefault="00186F2C" w:rsidP="00CF653C">
      <w:pPr>
        <w:widowControl/>
        <w:snapToGrid w:val="0"/>
        <w:ind w:left="642" w:hangingChars="292" w:hanging="642"/>
        <w:jc w:val="left"/>
        <w:rPr>
          <w:rFonts w:asciiTheme="majorEastAsia" w:eastAsiaTheme="majorEastAsia" w:hAnsiTheme="majorEastAsia"/>
          <w:color w:val="000000"/>
          <w:spacing w:val="16"/>
          <w:kern w:val="0"/>
          <w:sz w:val="22"/>
          <w:szCs w:val="22"/>
        </w:rPr>
      </w:pPr>
      <w:r w:rsidRPr="00CF653C">
        <w:rPr>
          <w:rFonts w:asciiTheme="majorEastAsia" w:eastAsiaTheme="majorEastAsia" w:hAnsiTheme="majorEastAsia" w:hint="eastAsia"/>
          <w:sz w:val="22"/>
          <w:szCs w:val="22"/>
        </w:rPr>
        <w:t>※１：業種欄には、営んでいる全ての事業が属する業種（</w:t>
      </w:r>
      <w:r w:rsidRPr="00CF653C">
        <w:rPr>
          <w:rFonts w:asciiTheme="majorEastAsia" w:eastAsiaTheme="majorEastAsia" w:hAnsiTheme="majorEastAsia" w:hint="eastAsia"/>
          <w:color w:val="000000"/>
          <w:spacing w:val="16"/>
          <w:kern w:val="0"/>
          <w:sz w:val="22"/>
          <w:szCs w:val="22"/>
        </w:rPr>
        <w:t>日本標準産業分類の細分類番号と細分類業種名）を記載。細分類業種は全て指定業種に該当することが必要。</w:t>
      </w:r>
    </w:p>
    <w:p w14:paraId="47CA4E95" w14:textId="77777777" w:rsidR="006B6C74" w:rsidRPr="00CF653C" w:rsidRDefault="00186F2C" w:rsidP="00CF653C">
      <w:pPr>
        <w:widowControl/>
        <w:snapToGrid w:val="0"/>
        <w:jc w:val="left"/>
        <w:rPr>
          <w:rFonts w:asciiTheme="majorEastAsia" w:eastAsiaTheme="majorEastAsia" w:hAnsiTheme="majorEastAsia"/>
          <w:color w:val="000000"/>
          <w:spacing w:val="16"/>
          <w:kern w:val="0"/>
          <w:sz w:val="22"/>
          <w:szCs w:val="22"/>
        </w:rPr>
      </w:pPr>
      <w:r w:rsidRPr="00CF653C">
        <w:rPr>
          <w:rFonts w:asciiTheme="majorEastAsia" w:eastAsiaTheme="majorEastAsia" w:hAnsiTheme="majorEastAsia" w:hint="eastAsia"/>
          <w:color w:val="000000"/>
          <w:spacing w:val="16"/>
          <w:kern w:val="0"/>
          <w:sz w:val="22"/>
          <w:szCs w:val="22"/>
        </w:rPr>
        <w:t>※２：指定業種の売上高を合算して記載することも可</w:t>
      </w:r>
    </w:p>
    <w:p w14:paraId="37357CA0" w14:textId="77777777" w:rsidR="006B6C74" w:rsidRPr="00CF653C" w:rsidRDefault="00186F2C">
      <w:pPr>
        <w:suppressAutoHyphens/>
        <w:kinsoku w:val="0"/>
        <w:wordWrap w:val="0"/>
        <w:autoSpaceDE w:val="0"/>
        <w:autoSpaceDN w:val="0"/>
        <w:spacing w:beforeLines="50" w:before="180" w:line="366" w:lineRule="atLeast"/>
        <w:jc w:val="lef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（表２：企業全体に係る原油等の仕入単価の上昇）</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5"/>
        <w:gridCol w:w="2835"/>
        <w:gridCol w:w="2835"/>
      </w:tblGrid>
      <w:tr w:rsidR="006B6C74" w:rsidRPr="00CF653C" w14:paraId="3A3BA4C5" w14:textId="77777777" w:rsidTr="00CF653C">
        <w:tc>
          <w:tcPr>
            <w:tcW w:w="1560" w:type="dxa"/>
          </w:tcPr>
          <w:p w14:paraId="19FADF71" w14:textId="77777777" w:rsidR="006B6C74" w:rsidRPr="00CF653C" w:rsidRDefault="006B6C74">
            <w:pPr>
              <w:rPr>
                <w:rFonts w:asciiTheme="majorEastAsia" w:eastAsiaTheme="majorEastAsia" w:hAnsiTheme="majorEastAsia"/>
                <w:sz w:val="22"/>
                <w:szCs w:val="22"/>
              </w:rPr>
            </w:pPr>
          </w:p>
        </w:tc>
        <w:tc>
          <w:tcPr>
            <w:tcW w:w="2835" w:type="dxa"/>
          </w:tcPr>
          <w:p w14:paraId="485AB94F" w14:textId="77777777" w:rsidR="006B6C74" w:rsidRPr="00CF653C" w:rsidRDefault="00186F2C">
            <w:pPr>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原油等の最近１か月の平均仕入単価</w:t>
            </w:r>
          </w:p>
        </w:tc>
        <w:tc>
          <w:tcPr>
            <w:tcW w:w="2835" w:type="dxa"/>
          </w:tcPr>
          <w:p w14:paraId="5B83DB92" w14:textId="77777777" w:rsidR="006B6C74" w:rsidRPr="00CF653C" w:rsidRDefault="00186F2C">
            <w:pPr>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原油等の前年同月の平均仕入単価</w:t>
            </w:r>
          </w:p>
        </w:tc>
        <w:tc>
          <w:tcPr>
            <w:tcW w:w="2835" w:type="dxa"/>
          </w:tcPr>
          <w:p w14:paraId="6C8B6201" w14:textId="77777777" w:rsidR="006B6C74" w:rsidRPr="00CF653C" w:rsidRDefault="00186F2C">
            <w:pPr>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原油等の仕入単価の上昇率（E/ｅ×100－100）</w:t>
            </w:r>
          </w:p>
        </w:tc>
      </w:tr>
      <w:tr w:rsidR="006B6C74" w:rsidRPr="00CF653C" w14:paraId="2AE6F05D" w14:textId="77777777" w:rsidTr="00CF653C">
        <w:trPr>
          <w:trHeight w:val="449"/>
        </w:trPr>
        <w:tc>
          <w:tcPr>
            <w:tcW w:w="1560" w:type="dxa"/>
            <w:vAlign w:val="center"/>
          </w:tcPr>
          <w:p w14:paraId="1D2CDC54" w14:textId="77777777" w:rsidR="006B6C74" w:rsidRPr="00CF653C" w:rsidRDefault="00186F2C" w:rsidP="00CF653C">
            <w:pPr>
              <w:jc w:val="center"/>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企業全体</w:t>
            </w:r>
          </w:p>
        </w:tc>
        <w:tc>
          <w:tcPr>
            <w:tcW w:w="2835" w:type="dxa"/>
            <w:vAlign w:val="bottom"/>
          </w:tcPr>
          <w:p w14:paraId="63B40B34" w14:textId="77777777" w:rsidR="006B6C74" w:rsidRPr="00CF653C" w:rsidRDefault="00186F2C" w:rsidP="00CF653C">
            <w:pPr>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円【Ｅ】</w:t>
            </w:r>
          </w:p>
        </w:tc>
        <w:tc>
          <w:tcPr>
            <w:tcW w:w="2835" w:type="dxa"/>
            <w:vAlign w:val="bottom"/>
          </w:tcPr>
          <w:p w14:paraId="6F72C0F3" w14:textId="77777777" w:rsidR="006B6C74" w:rsidRPr="00CF653C" w:rsidRDefault="00186F2C" w:rsidP="00CF653C">
            <w:pPr>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円【ｅ】</w:t>
            </w:r>
          </w:p>
        </w:tc>
        <w:tc>
          <w:tcPr>
            <w:tcW w:w="2835" w:type="dxa"/>
            <w:vAlign w:val="bottom"/>
          </w:tcPr>
          <w:p w14:paraId="4B0C1DFB" w14:textId="77777777" w:rsidR="006B6C74" w:rsidRPr="00CF653C" w:rsidRDefault="00186F2C" w:rsidP="00CF653C">
            <w:pPr>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w:t>
            </w:r>
          </w:p>
        </w:tc>
      </w:tr>
    </w:tbl>
    <w:p w14:paraId="789FF2E1" w14:textId="77777777" w:rsidR="006B6C74" w:rsidRPr="00CF653C" w:rsidRDefault="00186F2C">
      <w:pPr>
        <w:suppressAutoHyphens/>
        <w:kinsoku w:val="0"/>
        <w:wordWrap w:val="0"/>
        <w:autoSpaceDE w:val="0"/>
        <w:autoSpaceDN w:val="0"/>
        <w:spacing w:beforeLines="50" w:before="180" w:line="366" w:lineRule="atLeast"/>
        <w:jc w:val="lef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（表３：企業全体の売上原価に占める原油等の仕入価格の割合</w:t>
      </w:r>
      <w:r w:rsidRPr="00CF653C">
        <w:rPr>
          <w:rFonts w:asciiTheme="majorEastAsia" w:eastAsiaTheme="majorEastAsia" w:hAnsiTheme="majorEastAsia" w:hint="eastAsia"/>
          <w:color w:val="000000"/>
          <w:kern w:val="0"/>
          <w:sz w:val="22"/>
          <w:szCs w:val="22"/>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835"/>
        <w:gridCol w:w="2835"/>
        <w:gridCol w:w="2835"/>
      </w:tblGrid>
      <w:tr w:rsidR="006B6C74" w:rsidRPr="00CF653C" w14:paraId="29953C74" w14:textId="77777777" w:rsidTr="00CF653C">
        <w:trPr>
          <w:trHeight w:val="787"/>
        </w:trPr>
        <w:tc>
          <w:tcPr>
            <w:tcW w:w="1560" w:type="dxa"/>
          </w:tcPr>
          <w:p w14:paraId="2B358C70" w14:textId="77777777" w:rsidR="006B6C74" w:rsidRPr="00CF653C" w:rsidRDefault="006B6C74">
            <w:pPr>
              <w:jc w:val="center"/>
              <w:rPr>
                <w:rFonts w:asciiTheme="majorEastAsia" w:eastAsiaTheme="majorEastAsia" w:hAnsiTheme="majorEastAsia"/>
                <w:sz w:val="22"/>
                <w:szCs w:val="22"/>
              </w:rPr>
            </w:pPr>
          </w:p>
        </w:tc>
        <w:tc>
          <w:tcPr>
            <w:tcW w:w="2835" w:type="dxa"/>
          </w:tcPr>
          <w:p w14:paraId="425DE97A" w14:textId="0644D794" w:rsidR="006B6C74" w:rsidRPr="00CF653C" w:rsidRDefault="00186F2C" w:rsidP="00CF653C">
            <w:pPr>
              <w:jc w:val="center"/>
              <w:rPr>
                <w:rFonts w:asciiTheme="majorEastAsia" w:eastAsiaTheme="majorEastAsia" w:hAnsiTheme="majorEastAsia" w:hint="eastAsia"/>
                <w:sz w:val="22"/>
                <w:szCs w:val="22"/>
              </w:rPr>
            </w:pPr>
            <w:r w:rsidRPr="00CF653C">
              <w:rPr>
                <w:rFonts w:asciiTheme="majorEastAsia" w:eastAsiaTheme="majorEastAsia" w:hAnsiTheme="majorEastAsia" w:hint="eastAsia"/>
                <w:sz w:val="22"/>
                <w:szCs w:val="22"/>
              </w:rPr>
              <w:t>最新の売上原価</w:t>
            </w:r>
          </w:p>
        </w:tc>
        <w:tc>
          <w:tcPr>
            <w:tcW w:w="2835" w:type="dxa"/>
          </w:tcPr>
          <w:p w14:paraId="27D2C31D" w14:textId="77777777" w:rsidR="006B6C74" w:rsidRPr="00CF653C" w:rsidRDefault="00186F2C">
            <w:pPr>
              <w:jc w:val="center"/>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最新の売上原価に対応する原油等の仕入価格</w:t>
            </w:r>
          </w:p>
        </w:tc>
        <w:tc>
          <w:tcPr>
            <w:tcW w:w="2835" w:type="dxa"/>
          </w:tcPr>
          <w:p w14:paraId="5918DAF8" w14:textId="1A0F0490" w:rsidR="006B6C74" w:rsidRPr="00CF653C" w:rsidRDefault="00186F2C" w:rsidP="00CF653C">
            <w:pPr>
              <w:jc w:val="center"/>
              <w:rPr>
                <w:rFonts w:asciiTheme="majorEastAsia" w:eastAsiaTheme="majorEastAsia" w:hAnsiTheme="majorEastAsia"/>
                <w:sz w:val="20"/>
              </w:rPr>
            </w:pPr>
            <w:r w:rsidRPr="00CF653C">
              <w:rPr>
                <w:rFonts w:asciiTheme="majorEastAsia" w:eastAsiaTheme="majorEastAsia" w:hAnsiTheme="majorEastAsia" w:hint="eastAsia"/>
                <w:sz w:val="20"/>
              </w:rPr>
              <w:t>売上原価に占める原油等の仕入価格の割合（S/C×100）</w:t>
            </w:r>
          </w:p>
        </w:tc>
      </w:tr>
      <w:tr w:rsidR="006B6C74" w:rsidRPr="00CF653C" w14:paraId="67EB7A70" w14:textId="77777777" w:rsidTr="00CF653C">
        <w:trPr>
          <w:trHeight w:val="363"/>
        </w:trPr>
        <w:tc>
          <w:tcPr>
            <w:tcW w:w="1560" w:type="dxa"/>
            <w:vAlign w:val="center"/>
          </w:tcPr>
          <w:p w14:paraId="5D3CF83E" w14:textId="77777777" w:rsidR="006B6C74" w:rsidRPr="00CF653C" w:rsidRDefault="00186F2C" w:rsidP="00CF653C">
            <w:pPr>
              <w:jc w:val="center"/>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企業全体</w:t>
            </w:r>
          </w:p>
        </w:tc>
        <w:tc>
          <w:tcPr>
            <w:tcW w:w="2835" w:type="dxa"/>
            <w:vAlign w:val="bottom"/>
          </w:tcPr>
          <w:p w14:paraId="7F2642E8" w14:textId="77777777" w:rsidR="006B6C74" w:rsidRPr="00CF653C" w:rsidRDefault="00186F2C" w:rsidP="00CF653C">
            <w:pPr>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円【Ｃ】</w:t>
            </w:r>
          </w:p>
        </w:tc>
        <w:tc>
          <w:tcPr>
            <w:tcW w:w="2835" w:type="dxa"/>
            <w:vAlign w:val="bottom"/>
          </w:tcPr>
          <w:p w14:paraId="624D2446" w14:textId="77777777" w:rsidR="006B6C74" w:rsidRPr="00CF653C" w:rsidRDefault="00186F2C" w:rsidP="00CF653C">
            <w:pPr>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円【Ｓ】</w:t>
            </w:r>
          </w:p>
        </w:tc>
        <w:tc>
          <w:tcPr>
            <w:tcW w:w="2835" w:type="dxa"/>
            <w:vAlign w:val="bottom"/>
          </w:tcPr>
          <w:p w14:paraId="6C35D2F9" w14:textId="77777777" w:rsidR="006B6C74" w:rsidRPr="00CF653C" w:rsidRDefault="00186F2C" w:rsidP="00CF653C">
            <w:pPr>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w:t>
            </w:r>
          </w:p>
        </w:tc>
      </w:tr>
    </w:tbl>
    <w:p w14:paraId="4FC50EC0" w14:textId="77777777" w:rsidR="006B6C74" w:rsidRPr="00CF653C" w:rsidRDefault="00186F2C">
      <w:pPr>
        <w:suppressAutoHyphens/>
        <w:kinsoku w:val="0"/>
        <w:wordWrap w:val="0"/>
        <w:autoSpaceDE w:val="0"/>
        <w:autoSpaceDN w:val="0"/>
        <w:spacing w:line="366" w:lineRule="atLeast"/>
        <w:jc w:val="lef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（注）最新の売上原価及び原油等の仕入価格は、直近の決算期の値を用いることも可。</w:t>
      </w:r>
    </w:p>
    <w:p w14:paraId="55D3C373" w14:textId="77777777" w:rsidR="006B6C74" w:rsidRPr="00CF653C" w:rsidRDefault="00186F2C">
      <w:pPr>
        <w:suppressAutoHyphens/>
        <w:kinsoku w:val="0"/>
        <w:wordWrap w:val="0"/>
        <w:autoSpaceDE w:val="0"/>
        <w:autoSpaceDN w:val="0"/>
        <w:spacing w:beforeLines="50" w:before="180" w:line="366" w:lineRule="atLeast"/>
        <w:jc w:val="left"/>
        <w:rPr>
          <w:rFonts w:asciiTheme="majorEastAsia" w:eastAsiaTheme="majorEastAsia" w:hAnsiTheme="majorEastAsia"/>
          <w:color w:val="000000"/>
          <w:kern w:val="0"/>
          <w:sz w:val="22"/>
          <w:szCs w:val="22"/>
        </w:rPr>
      </w:pPr>
      <w:r w:rsidRPr="00CF653C">
        <w:rPr>
          <w:rFonts w:asciiTheme="majorEastAsia" w:eastAsiaTheme="majorEastAsia" w:hAnsiTheme="majorEastAsia" w:hint="eastAsia"/>
          <w:sz w:val="22"/>
          <w:szCs w:val="22"/>
        </w:rPr>
        <w:t>（表４：</w:t>
      </w:r>
      <w:r w:rsidRPr="00CF653C">
        <w:rPr>
          <w:rFonts w:asciiTheme="majorEastAsia" w:eastAsiaTheme="majorEastAsia" w:hAnsiTheme="majorEastAsia" w:hint="eastAsia"/>
          <w:color w:val="000000"/>
          <w:kern w:val="0"/>
          <w:sz w:val="22"/>
          <w:szCs w:val="22"/>
        </w:rPr>
        <w:t>企業全体の製品等価格への転嫁の状況）</w:t>
      </w: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14"/>
        <w:gridCol w:w="1336"/>
        <w:gridCol w:w="1337"/>
        <w:gridCol w:w="1336"/>
        <w:gridCol w:w="1337"/>
        <w:gridCol w:w="1336"/>
        <w:gridCol w:w="1337"/>
        <w:gridCol w:w="1337"/>
      </w:tblGrid>
      <w:tr w:rsidR="006B6C74" w:rsidRPr="00CF653C" w14:paraId="51E36B5B" w14:textId="77777777">
        <w:tc>
          <w:tcPr>
            <w:tcW w:w="714" w:type="dxa"/>
          </w:tcPr>
          <w:p w14:paraId="37FDFB9A" w14:textId="77777777" w:rsidR="006B6C74" w:rsidRPr="00CF653C" w:rsidRDefault="006B6C74">
            <w:pPr>
              <w:suppressAutoHyphens/>
              <w:kinsoku w:val="0"/>
              <w:wordWrap w:val="0"/>
              <w:autoSpaceDE w:val="0"/>
              <w:autoSpaceDN w:val="0"/>
              <w:spacing w:line="366" w:lineRule="atLeast"/>
              <w:jc w:val="left"/>
              <w:rPr>
                <w:rFonts w:asciiTheme="majorEastAsia" w:eastAsiaTheme="majorEastAsia" w:hAnsiTheme="majorEastAsia"/>
                <w:sz w:val="22"/>
                <w:szCs w:val="22"/>
              </w:rPr>
            </w:pPr>
          </w:p>
        </w:tc>
        <w:tc>
          <w:tcPr>
            <w:tcW w:w="1336" w:type="dxa"/>
          </w:tcPr>
          <w:p w14:paraId="25AA2135" w14:textId="77777777" w:rsidR="006B6C74" w:rsidRPr="00CF653C" w:rsidRDefault="00186F2C">
            <w:pPr>
              <w:suppressAutoHyphens/>
              <w:kinsoku w:val="0"/>
              <w:wordWrap w:val="0"/>
              <w:autoSpaceDE w:val="0"/>
              <w:autoSpaceDN w:val="0"/>
              <w:spacing w:line="366" w:lineRule="atLeast"/>
              <w:jc w:val="lef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最近３か月間の原油等の仕入価格</w:t>
            </w:r>
          </w:p>
        </w:tc>
        <w:tc>
          <w:tcPr>
            <w:tcW w:w="1337" w:type="dxa"/>
          </w:tcPr>
          <w:p w14:paraId="0AC8B511" w14:textId="77777777" w:rsidR="006B6C74" w:rsidRPr="00CF653C" w:rsidRDefault="00186F2C">
            <w:pPr>
              <w:suppressAutoHyphens/>
              <w:kinsoku w:val="0"/>
              <w:wordWrap w:val="0"/>
              <w:autoSpaceDE w:val="0"/>
              <w:autoSpaceDN w:val="0"/>
              <w:spacing w:line="366" w:lineRule="atLeast"/>
              <w:jc w:val="lef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最近３か月間の売上高</w:t>
            </w:r>
          </w:p>
        </w:tc>
        <w:tc>
          <w:tcPr>
            <w:tcW w:w="1336" w:type="dxa"/>
          </w:tcPr>
          <w:p w14:paraId="50D6F33D" w14:textId="77777777" w:rsidR="006B6C74" w:rsidRPr="00CF653C" w:rsidRDefault="00186F2C">
            <w:pPr>
              <w:suppressAutoHyphens/>
              <w:kinsoku w:val="0"/>
              <w:wordWrap w:val="0"/>
              <w:autoSpaceDE w:val="0"/>
              <w:autoSpaceDN w:val="0"/>
              <w:spacing w:line="366" w:lineRule="atLeast"/>
              <w:jc w:val="lef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（A/B）</w:t>
            </w:r>
          </w:p>
        </w:tc>
        <w:tc>
          <w:tcPr>
            <w:tcW w:w="1337" w:type="dxa"/>
          </w:tcPr>
          <w:p w14:paraId="613E4F7D" w14:textId="77777777" w:rsidR="006B6C74" w:rsidRPr="00CF653C" w:rsidRDefault="00186F2C">
            <w:pPr>
              <w:suppressAutoHyphens/>
              <w:kinsoku w:val="0"/>
              <w:wordWrap w:val="0"/>
              <w:autoSpaceDE w:val="0"/>
              <w:autoSpaceDN w:val="0"/>
              <w:spacing w:line="366" w:lineRule="atLeast"/>
              <w:jc w:val="lef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前年同期の原油等の仕入価格</w:t>
            </w:r>
          </w:p>
        </w:tc>
        <w:tc>
          <w:tcPr>
            <w:tcW w:w="1336" w:type="dxa"/>
          </w:tcPr>
          <w:p w14:paraId="2E7C5091" w14:textId="77777777" w:rsidR="006B6C74" w:rsidRPr="00CF653C" w:rsidRDefault="00186F2C">
            <w:pPr>
              <w:suppressAutoHyphens/>
              <w:kinsoku w:val="0"/>
              <w:wordWrap w:val="0"/>
              <w:autoSpaceDE w:val="0"/>
              <w:autoSpaceDN w:val="0"/>
              <w:spacing w:line="366" w:lineRule="atLeast"/>
              <w:jc w:val="lef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前年同期の売上高</w:t>
            </w:r>
          </w:p>
        </w:tc>
        <w:tc>
          <w:tcPr>
            <w:tcW w:w="1337" w:type="dxa"/>
          </w:tcPr>
          <w:p w14:paraId="722BA290" w14:textId="77777777" w:rsidR="006B6C74" w:rsidRPr="00CF653C" w:rsidRDefault="00186F2C">
            <w:pPr>
              <w:suppressAutoHyphens/>
              <w:kinsoku w:val="0"/>
              <w:wordWrap w:val="0"/>
              <w:autoSpaceDE w:val="0"/>
              <w:autoSpaceDN w:val="0"/>
              <w:spacing w:line="366" w:lineRule="atLeast"/>
              <w:jc w:val="lef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（a/b）</w:t>
            </w:r>
          </w:p>
        </w:tc>
        <w:tc>
          <w:tcPr>
            <w:tcW w:w="1337" w:type="dxa"/>
          </w:tcPr>
          <w:p w14:paraId="0F0870FE" w14:textId="77777777" w:rsidR="006B6C74" w:rsidRPr="00CF653C" w:rsidRDefault="00186F2C">
            <w:pPr>
              <w:suppressAutoHyphens/>
              <w:kinsoku w:val="0"/>
              <w:wordWrap w:val="0"/>
              <w:autoSpaceDE w:val="0"/>
              <w:autoSpaceDN w:val="0"/>
              <w:spacing w:line="366" w:lineRule="atLeast"/>
              <w:jc w:val="lef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（A/B）－（a/b）＝Ｐ</w:t>
            </w:r>
          </w:p>
        </w:tc>
      </w:tr>
      <w:tr w:rsidR="006B6C74" w:rsidRPr="00CF653C" w14:paraId="084E8BB8" w14:textId="77777777">
        <w:tc>
          <w:tcPr>
            <w:tcW w:w="714" w:type="dxa"/>
          </w:tcPr>
          <w:p w14:paraId="1C9A6CE9" w14:textId="77777777" w:rsidR="006B6C74" w:rsidRPr="00CF653C" w:rsidRDefault="00186F2C">
            <w:pPr>
              <w:suppressAutoHyphens/>
              <w:kinsoku w:val="0"/>
              <w:wordWrap w:val="0"/>
              <w:autoSpaceDE w:val="0"/>
              <w:autoSpaceDN w:val="0"/>
              <w:spacing w:line="366" w:lineRule="atLeast"/>
              <w:jc w:val="lef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企業</w:t>
            </w:r>
          </w:p>
          <w:p w14:paraId="6B50DADE" w14:textId="77777777" w:rsidR="006B6C74" w:rsidRPr="00CF653C" w:rsidRDefault="00186F2C">
            <w:pPr>
              <w:suppressAutoHyphens/>
              <w:kinsoku w:val="0"/>
              <w:wordWrap w:val="0"/>
              <w:autoSpaceDE w:val="0"/>
              <w:autoSpaceDN w:val="0"/>
              <w:spacing w:line="366" w:lineRule="atLeast"/>
              <w:jc w:val="lef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全体</w:t>
            </w:r>
          </w:p>
        </w:tc>
        <w:tc>
          <w:tcPr>
            <w:tcW w:w="1336" w:type="dxa"/>
          </w:tcPr>
          <w:p w14:paraId="17E967A5" w14:textId="77777777" w:rsidR="006B6C74" w:rsidRPr="00CF653C" w:rsidRDefault="00186F2C">
            <w:pPr>
              <w:suppressAutoHyphens/>
              <w:kinsoku w:val="0"/>
              <w:wordWrap w:val="0"/>
              <w:autoSpaceDE w:val="0"/>
              <w:autoSpaceDN w:val="0"/>
              <w:spacing w:line="366" w:lineRule="atLeast"/>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円</w:t>
            </w:r>
          </w:p>
          <w:p w14:paraId="7039D51E" w14:textId="77777777" w:rsidR="006B6C74" w:rsidRPr="00CF653C" w:rsidRDefault="00186F2C">
            <w:pPr>
              <w:suppressAutoHyphens/>
              <w:kinsoku w:val="0"/>
              <w:autoSpaceDE w:val="0"/>
              <w:autoSpaceDN w:val="0"/>
              <w:spacing w:line="366" w:lineRule="atLeast"/>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【A】</w:t>
            </w:r>
          </w:p>
        </w:tc>
        <w:tc>
          <w:tcPr>
            <w:tcW w:w="1337" w:type="dxa"/>
          </w:tcPr>
          <w:p w14:paraId="75B1D83B" w14:textId="77777777" w:rsidR="006B6C74" w:rsidRPr="00CF653C" w:rsidRDefault="00186F2C">
            <w:pPr>
              <w:suppressAutoHyphens/>
              <w:kinsoku w:val="0"/>
              <w:wordWrap w:val="0"/>
              <w:autoSpaceDE w:val="0"/>
              <w:autoSpaceDN w:val="0"/>
              <w:spacing w:line="366" w:lineRule="atLeast"/>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円</w:t>
            </w:r>
          </w:p>
          <w:p w14:paraId="42C144D9" w14:textId="77777777" w:rsidR="006B6C74" w:rsidRPr="00CF653C" w:rsidRDefault="00186F2C">
            <w:pPr>
              <w:suppressAutoHyphens/>
              <w:kinsoku w:val="0"/>
              <w:autoSpaceDE w:val="0"/>
              <w:autoSpaceDN w:val="0"/>
              <w:spacing w:line="366" w:lineRule="atLeast"/>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【B】</w:t>
            </w:r>
          </w:p>
        </w:tc>
        <w:tc>
          <w:tcPr>
            <w:tcW w:w="1336" w:type="dxa"/>
          </w:tcPr>
          <w:p w14:paraId="0B7B0497" w14:textId="77777777" w:rsidR="006B6C74" w:rsidRPr="00CF653C" w:rsidRDefault="006B6C74">
            <w:pPr>
              <w:suppressAutoHyphens/>
              <w:kinsoku w:val="0"/>
              <w:wordWrap w:val="0"/>
              <w:autoSpaceDE w:val="0"/>
              <w:autoSpaceDN w:val="0"/>
              <w:spacing w:line="366" w:lineRule="atLeast"/>
              <w:jc w:val="right"/>
              <w:rPr>
                <w:rFonts w:asciiTheme="majorEastAsia" w:eastAsiaTheme="majorEastAsia" w:hAnsiTheme="majorEastAsia"/>
                <w:sz w:val="22"/>
                <w:szCs w:val="22"/>
              </w:rPr>
            </w:pPr>
          </w:p>
        </w:tc>
        <w:tc>
          <w:tcPr>
            <w:tcW w:w="1337" w:type="dxa"/>
          </w:tcPr>
          <w:p w14:paraId="096BBA79" w14:textId="77777777" w:rsidR="006B6C74" w:rsidRPr="00CF653C" w:rsidRDefault="00186F2C">
            <w:pPr>
              <w:suppressAutoHyphens/>
              <w:kinsoku w:val="0"/>
              <w:wordWrap w:val="0"/>
              <w:autoSpaceDE w:val="0"/>
              <w:autoSpaceDN w:val="0"/>
              <w:spacing w:line="366" w:lineRule="atLeast"/>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円</w:t>
            </w:r>
          </w:p>
          <w:p w14:paraId="04DD6E7B" w14:textId="77777777" w:rsidR="006B6C74" w:rsidRPr="00CF653C" w:rsidRDefault="00186F2C">
            <w:pPr>
              <w:suppressAutoHyphens/>
              <w:kinsoku w:val="0"/>
              <w:autoSpaceDE w:val="0"/>
              <w:autoSpaceDN w:val="0"/>
              <w:spacing w:line="366" w:lineRule="atLeast"/>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【a】</w:t>
            </w:r>
          </w:p>
        </w:tc>
        <w:tc>
          <w:tcPr>
            <w:tcW w:w="1336" w:type="dxa"/>
          </w:tcPr>
          <w:p w14:paraId="3DE412D7" w14:textId="77777777" w:rsidR="006B6C74" w:rsidRPr="00CF653C" w:rsidRDefault="00186F2C">
            <w:pPr>
              <w:suppressAutoHyphens/>
              <w:kinsoku w:val="0"/>
              <w:wordWrap w:val="0"/>
              <w:autoSpaceDE w:val="0"/>
              <w:autoSpaceDN w:val="0"/>
              <w:spacing w:line="366" w:lineRule="atLeast"/>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円</w:t>
            </w:r>
          </w:p>
          <w:p w14:paraId="71B397BF" w14:textId="77777777" w:rsidR="006B6C74" w:rsidRPr="00CF653C" w:rsidRDefault="00186F2C">
            <w:pPr>
              <w:suppressAutoHyphens/>
              <w:kinsoku w:val="0"/>
              <w:autoSpaceDE w:val="0"/>
              <w:autoSpaceDN w:val="0"/>
              <w:spacing w:line="366" w:lineRule="atLeast"/>
              <w:jc w:val="righ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【b】</w:t>
            </w:r>
          </w:p>
        </w:tc>
        <w:tc>
          <w:tcPr>
            <w:tcW w:w="1337" w:type="dxa"/>
          </w:tcPr>
          <w:p w14:paraId="11D16BD5" w14:textId="77777777" w:rsidR="006B6C74" w:rsidRPr="00CF653C" w:rsidRDefault="006B6C74">
            <w:pPr>
              <w:suppressAutoHyphens/>
              <w:kinsoku w:val="0"/>
              <w:wordWrap w:val="0"/>
              <w:autoSpaceDE w:val="0"/>
              <w:autoSpaceDN w:val="0"/>
              <w:spacing w:line="366" w:lineRule="atLeast"/>
              <w:jc w:val="right"/>
              <w:rPr>
                <w:rFonts w:asciiTheme="majorEastAsia" w:eastAsiaTheme="majorEastAsia" w:hAnsiTheme="majorEastAsia"/>
                <w:sz w:val="22"/>
                <w:szCs w:val="22"/>
              </w:rPr>
            </w:pPr>
          </w:p>
        </w:tc>
        <w:tc>
          <w:tcPr>
            <w:tcW w:w="1337" w:type="dxa"/>
          </w:tcPr>
          <w:p w14:paraId="2A227E28" w14:textId="77777777" w:rsidR="006B6C74" w:rsidRPr="00CF653C" w:rsidRDefault="006B6C74">
            <w:pPr>
              <w:suppressAutoHyphens/>
              <w:kinsoku w:val="0"/>
              <w:wordWrap w:val="0"/>
              <w:autoSpaceDE w:val="0"/>
              <w:autoSpaceDN w:val="0"/>
              <w:spacing w:line="366" w:lineRule="atLeast"/>
              <w:jc w:val="right"/>
              <w:rPr>
                <w:rFonts w:asciiTheme="majorEastAsia" w:eastAsiaTheme="majorEastAsia" w:hAnsiTheme="majorEastAsia"/>
                <w:sz w:val="22"/>
                <w:szCs w:val="22"/>
              </w:rPr>
            </w:pPr>
          </w:p>
        </w:tc>
      </w:tr>
    </w:tbl>
    <w:p w14:paraId="4852B463" w14:textId="40721AF6" w:rsidR="006B6C74" w:rsidRDefault="00E003F5">
      <w:pPr>
        <w:suppressAutoHyphens/>
        <w:kinsoku w:val="0"/>
        <w:wordWrap w:val="0"/>
        <w:autoSpaceDE w:val="0"/>
        <w:autoSpaceDN w:val="0"/>
        <w:spacing w:line="366" w:lineRule="atLeast"/>
        <w:ind w:left="642" w:hangingChars="292" w:hanging="642"/>
        <w:jc w:val="left"/>
        <w:rPr>
          <w:rFonts w:asciiTheme="majorEastAsia" w:eastAsiaTheme="majorEastAsia" w:hAnsiTheme="majorEastAsia"/>
          <w:sz w:val="22"/>
          <w:szCs w:val="22"/>
        </w:rPr>
      </w:pPr>
      <w:r w:rsidRPr="00CF653C">
        <w:rPr>
          <w:rFonts w:asciiTheme="majorEastAsia" w:eastAsiaTheme="majorEastAsia" w:hAnsiTheme="majorEastAsia" w:hint="eastAsia"/>
          <w:sz w:val="22"/>
          <w:szCs w:val="22"/>
        </w:rPr>
        <w:t>上記内</w:t>
      </w:r>
      <w:bookmarkStart w:id="0" w:name="_GoBack"/>
      <w:bookmarkEnd w:id="0"/>
      <w:r w:rsidRPr="00CF653C">
        <w:rPr>
          <w:rFonts w:asciiTheme="majorEastAsia" w:eastAsiaTheme="majorEastAsia" w:hAnsiTheme="majorEastAsia" w:hint="eastAsia"/>
          <w:sz w:val="22"/>
          <w:szCs w:val="22"/>
        </w:rPr>
        <w:t>容は、決算書・売上帳等の原本と相違ないことを証します。</w:t>
      </w:r>
    </w:p>
    <w:p w14:paraId="748113F6" w14:textId="77777777" w:rsidR="00CF653C" w:rsidRPr="00CF653C" w:rsidRDefault="00CF653C">
      <w:pPr>
        <w:suppressAutoHyphens/>
        <w:kinsoku w:val="0"/>
        <w:wordWrap w:val="0"/>
        <w:autoSpaceDE w:val="0"/>
        <w:autoSpaceDN w:val="0"/>
        <w:spacing w:line="366" w:lineRule="atLeast"/>
        <w:ind w:left="701" w:hangingChars="292" w:hanging="701"/>
        <w:jc w:val="left"/>
        <w:rPr>
          <w:rFonts w:asciiTheme="majorEastAsia" w:eastAsiaTheme="majorEastAsia" w:hAnsiTheme="majorEastAsia" w:hint="eastAsia"/>
          <w:sz w:val="24"/>
        </w:rPr>
      </w:pPr>
    </w:p>
    <w:p w14:paraId="4710390A" w14:textId="77777777" w:rsidR="00186F2C" w:rsidRPr="00CF653C" w:rsidRDefault="00186F2C" w:rsidP="00186F2C">
      <w:pPr>
        <w:ind w:firstLineChars="300" w:firstLine="660"/>
        <w:rPr>
          <w:rFonts w:asciiTheme="majorEastAsia" w:eastAsiaTheme="majorEastAsia" w:hAnsiTheme="majorEastAsia"/>
          <w:sz w:val="22"/>
          <w:szCs w:val="22"/>
          <w:u w:val="single"/>
        </w:rPr>
      </w:pPr>
      <w:r w:rsidRPr="00CF653C">
        <w:rPr>
          <w:rFonts w:asciiTheme="majorEastAsia" w:eastAsiaTheme="majorEastAsia" w:hAnsiTheme="majorEastAsia" w:hint="eastAsia"/>
          <w:sz w:val="22"/>
          <w:szCs w:val="22"/>
        </w:rPr>
        <w:t>住所</w:t>
      </w:r>
      <w:r w:rsidRPr="00CF653C">
        <w:rPr>
          <w:rFonts w:asciiTheme="majorEastAsia" w:eastAsiaTheme="majorEastAsia" w:hAnsiTheme="majorEastAsia" w:hint="eastAsia"/>
          <w:sz w:val="22"/>
          <w:szCs w:val="22"/>
          <w:u w:val="single"/>
        </w:rPr>
        <w:t xml:space="preserve">　　　　　　　　　　　　　　　　　　　　　　　　　　　　　　　　　　　　</w:t>
      </w:r>
    </w:p>
    <w:p w14:paraId="54690F98" w14:textId="77777777" w:rsidR="00186F2C" w:rsidRPr="00CF653C" w:rsidRDefault="00186F2C" w:rsidP="00186F2C">
      <w:pPr>
        <w:rPr>
          <w:rFonts w:asciiTheme="majorEastAsia" w:eastAsiaTheme="majorEastAsia" w:hAnsiTheme="majorEastAsia"/>
          <w:sz w:val="22"/>
          <w:szCs w:val="22"/>
        </w:rPr>
      </w:pPr>
    </w:p>
    <w:p w14:paraId="5D8827B0" w14:textId="77777777" w:rsidR="00186F2C" w:rsidRPr="00CF653C" w:rsidRDefault="00186F2C" w:rsidP="00186F2C">
      <w:pPr>
        <w:ind w:firstLineChars="300" w:firstLine="660"/>
        <w:rPr>
          <w:rFonts w:asciiTheme="majorEastAsia" w:eastAsiaTheme="majorEastAsia" w:hAnsiTheme="majorEastAsia"/>
          <w:sz w:val="22"/>
          <w:szCs w:val="22"/>
          <w:u w:val="single"/>
        </w:rPr>
      </w:pPr>
      <w:r w:rsidRPr="00CF653C">
        <w:rPr>
          <w:rFonts w:asciiTheme="majorEastAsia" w:eastAsiaTheme="majorEastAsia" w:hAnsiTheme="majorEastAsia" w:hint="eastAsia"/>
          <w:sz w:val="22"/>
          <w:szCs w:val="22"/>
        </w:rPr>
        <w:t>名称または法人名</w:t>
      </w:r>
      <w:r w:rsidRPr="00CF653C">
        <w:rPr>
          <w:rFonts w:asciiTheme="majorEastAsia" w:eastAsiaTheme="majorEastAsia" w:hAnsiTheme="majorEastAsia" w:hint="eastAsia"/>
          <w:sz w:val="22"/>
          <w:szCs w:val="22"/>
          <w:u w:val="single"/>
        </w:rPr>
        <w:t xml:space="preserve">　　　　　　　　　　　　　　　　　　　　　　　　　　　　　　</w:t>
      </w:r>
    </w:p>
    <w:p w14:paraId="4B67733D" w14:textId="77777777" w:rsidR="00186F2C" w:rsidRPr="00CF653C" w:rsidRDefault="00186F2C" w:rsidP="00186F2C">
      <w:pPr>
        <w:rPr>
          <w:rFonts w:asciiTheme="majorEastAsia" w:eastAsiaTheme="majorEastAsia" w:hAnsiTheme="majorEastAsia"/>
          <w:sz w:val="22"/>
          <w:szCs w:val="22"/>
        </w:rPr>
      </w:pPr>
    </w:p>
    <w:p w14:paraId="328388F8" w14:textId="4A743B4E" w:rsidR="006B6C74" w:rsidRPr="00CF653C" w:rsidRDefault="00186F2C" w:rsidP="00186F2C">
      <w:pPr>
        <w:ind w:firstLineChars="300" w:firstLine="660"/>
        <w:rPr>
          <w:rFonts w:asciiTheme="majorEastAsia" w:eastAsiaTheme="majorEastAsia" w:hAnsiTheme="majorEastAsia"/>
          <w:u w:val="single"/>
        </w:rPr>
      </w:pPr>
      <w:r w:rsidRPr="00CF653C">
        <w:rPr>
          <w:rFonts w:asciiTheme="majorEastAsia" w:eastAsiaTheme="majorEastAsia" w:hAnsiTheme="majorEastAsia" w:hint="eastAsia"/>
          <w:sz w:val="22"/>
          <w:szCs w:val="22"/>
        </w:rPr>
        <w:t>代表者名</w:t>
      </w:r>
      <w:r w:rsidRPr="00CF653C">
        <w:rPr>
          <w:rFonts w:asciiTheme="majorEastAsia" w:eastAsiaTheme="majorEastAsia" w:hAnsiTheme="majorEastAsia" w:hint="eastAsia"/>
          <w:sz w:val="22"/>
          <w:szCs w:val="22"/>
          <w:u w:val="single"/>
        </w:rPr>
        <w:t xml:space="preserve">　　　　　　　　　　　　　　　　　　　　　　　　　　　　　　　　</w:t>
      </w:r>
      <w:r w:rsidR="002635F7" w:rsidRPr="00CF653C">
        <w:rPr>
          <w:rFonts w:asciiTheme="majorEastAsia" w:eastAsiaTheme="majorEastAsia" w:hAnsiTheme="majorEastAsia" w:hint="eastAsia"/>
          <w:sz w:val="22"/>
          <w:szCs w:val="22"/>
          <w:u w:val="single"/>
        </w:rPr>
        <w:t xml:space="preserve">　</w:t>
      </w:r>
      <w:r w:rsidRPr="00CF653C">
        <w:rPr>
          <w:rFonts w:asciiTheme="majorEastAsia" w:eastAsiaTheme="majorEastAsia" w:hAnsiTheme="majorEastAsia" w:hint="eastAsia"/>
          <w:sz w:val="22"/>
          <w:szCs w:val="22"/>
          <w:u w:val="single"/>
        </w:rPr>
        <w:t xml:space="preserve">　</w:t>
      </w:r>
    </w:p>
    <w:sectPr w:rsidR="006B6C74" w:rsidRPr="00CF653C">
      <w:pgSz w:w="11906" w:h="16838"/>
      <w:pgMar w:top="567" w:right="794" w:bottom="567" w:left="96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E6C67" w14:textId="77777777" w:rsidR="009A7BA9" w:rsidRDefault="00186F2C">
      <w:r>
        <w:separator/>
      </w:r>
    </w:p>
  </w:endnote>
  <w:endnote w:type="continuationSeparator" w:id="0">
    <w:p w14:paraId="3C4DB1A4" w14:textId="77777777" w:rsidR="009A7BA9" w:rsidRDefault="00186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2A5860" w14:textId="77777777" w:rsidR="009A7BA9" w:rsidRDefault="00186F2C">
      <w:r>
        <w:separator/>
      </w:r>
    </w:p>
  </w:footnote>
  <w:footnote w:type="continuationSeparator" w:id="0">
    <w:p w14:paraId="2059C924" w14:textId="77777777" w:rsidR="009A7BA9" w:rsidRDefault="00186F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E02F16"/>
    <w:multiLevelType w:val="hybridMultilevel"/>
    <w:tmpl w:val="181A0B40"/>
    <w:lvl w:ilvl="0" w:tplc="FFFFFFFF">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6B6C74"/>
    <w:rsid w:val="00114C9F"/>
    <w:rsid w:val="00176102"/>
    <w:rsid w:val="00186F2C"/>
    <w:rsid w:val="002635F7"/>
    <w:rsid w:val="00286E07"/>
    <w:rsid w:val="00493D0B"/>
    <w:rsid w:val="00586BF3"/>
    <w:rsid w:val="006B6C74"/>
    <w:rsid w:val="009A7BA9"/>
    <w:rsid w:val="00AE4190"/>
    <w:rsid w:val="00CF653C"/>
    <w:rsid w:val="00E003F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68940F"/>
  <w15:docId w15:val="{39B6A436-79AC-4FAE-A564-017625B28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pPr>
      <w:jc w:val="right"/>
    </w:pPr>
    <w:rPr>
      <w:rFonts w:ascii="ＭＳ ゴシック" w:eastAsia="ＭＳ ゴシック" w:hAnsi="ＭＳ ゴシック"/>
      <w:color w:val="000000"/>
      <w:kern w:val="0"/>
    </w:rPr>
  </w:style>
  <w:style w:type="character" w:customStyle="1" w:styleId="a4">
    <w:name w:val="結語 (文字)"/>
    <w:basedOn w:val="a0"/>
    <w:link w:val="a3"/>
    <w:rPr>
      <w:rFonts w:ascii="ＭＳ ゴシック" w:eastAsia="ＭＳ ゴシック" w:hAnsi="ＭＳ ゴシック"/>
      <w:color w:val="000000"/>
      <w:kern w:val="0"/>
    </w:rPr>
  </w:style>
  <w:style w:type="paragraph" w:styleId="a5">
    <w:name w:val="Balloon Text"/>
    <w:basedOn w:val="a"/>
    <w:link w:val="a6"/>
    <w:semiHidden/>
    <w:rPr>
      <w:rFonts w:ascii="Arial" w:eastAsia="ＭＳ ゴシック" w:hAnsi="Arial"/>
      <w:sz w:val="18"/>
    </w:rPr>
  </w:style>
  <w:style w:type="character" w:customStyle="1" w:styleId="a6">
    <w:name w:val="吹き出し (文字)"/>
    <w:basedOn w:val="a0"/>
    <w:link w:val="a5"/>
    <w:rPr>
      <w:rFonts w:ascii="Arial" w:eastAsia="ＭＳ ゴシック" w:hAnsi="Arial"/>
      <w:kern w:val="2"/>
      <w:sz w:val="18"/>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1"/>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青地　祐佳</cp:lastModifiedBy>
  <cp:revision>8</cp:revision>
  <dcterms:created xsi:type="dcterms:W3CDTF">2022-10-25T04:10:00Z</dcterms:created>
  <dcterms:modified xsi:type="dcterms:W3CDTF">2024-11-14T07:42:00Z</dcterms:modified>
</cp:coreProperties>
</file>